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8" w:rsidRPr="00E233F8" w:rsidRDefault="002C0127" w:rsidP="00E233F8">
      <w:pPr>
        <w:spacing w:after="0" w:line="240" w:lineRule="auto"/>
        <w:textAlignment w:val="top"/>
        <w:rPr>
          <w:rFonts w:eastAsia="Times New Roman" w:cs="Arial"/>
          <w:b/>
          <w:bCs/>
          <w:i/>
          <w:iCs/>
          <w:color w:val="666666"/>
          <w:sz w:val="28"/>
          <w:szCs w:val="28"/>
          <w:lang w:eastAsia="hr-HR"/>
        </w:rPr>
      </w:pPr>
      <w:r>
        <w:rPr>
          <w:rFonts w:eastAsia="Times New Roman" w:cs="Arial"/>
          <w:b/>
          <w:bCs/>
          <w:i/>
          <w:iCs/>
          <w:color w:val="666666"/>
          <w:sz w:val="28"/>
          <w:szCs w:val="28"/>
          <w:lang w:eastAsia="hr-HR"/>
        </w:rPr>
        <w:t>Prilog 3 -</w:t>
      </w:r>
      <w:r w:rsidR="00E233F8" w:rsidRPr="00E233F8">
        <w:rPr>
          <w:rFonts w:eastAsia="Times New Roman" w:cs="Arial"/>
          <w:b/>
          <w:bCs/>
          <w:i/>
          <w:iCs/>
          <w:color w:val="666666"/>
          <w:sz w:val="28"/>
          <w:szCs w:val="28"/>
          <w:lang w:eastAsia="hr-HR"/>
        </w:rPr>
        <w:t>Pregled podataka , Postaja RIPENDA za period 01102013 do   28112013</w:t>
      </w:r>
    </w:p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0"/>
        <w:gridCol w:w="150"/>
      </w:tblGrid>
      <w:tr w:rsidR="00E233F8" w:rsidRPr="00E233F8" w:rsidTr="00E233F8">
        <w:trPr>
          <w:tblCellSpacing w:w="15" w:type="dxa"/>
          <w:hidden/>
        </w:trPr>
        <w:tc>
          <w:tcPr>
            <w:tcW w:w="14385" w:type="dxa"/>
            <w:hideMark/>
          </w:tcPr>
          <w:p w:rsidR="00E233F8" w:rsidRPr="00E233F8" w:rsidRDefault="00E233F8" w:rsidP="00E233F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E233F8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p w:rsidR="00E233F8" w:rsidRPr="00E233F8" w:rsidRDefault="00E233F8" w:rsidP="00E23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20"/>
            </w:tblGrid>
            <w:tr w:rsidR="00E233F8" w:rsidRPr="00E233F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233F8" w:rsidRPr="00E233F8" w:rsidRDefault="00E233F8" w:rsidP="00E233F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E233F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Kriterij pretrage podataka</w:t>
                  </w:r>
                </w:p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  <w:r w:rsidRPr="00E233F8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lang w:eastAsia="hr-HR"/>
                    </w:rPr>
                    <w:t>Postaja:</w:t>
                  </w:r>
                  <w:r w:rsidRPr="00E233F8">
                    <w:rPr>
                      <w:rFonts w:ascii="Tahoma" w:eastAsia="Times New Roman" w:hAnsi="Tahoma" w:cs="Tahoma"/>
                      <w:color w:val="666666"/>
                      <w:sz w:val="17"/>
                      <w:lang w:eastAsia="hr-HR"/>
                    </w:rPr>
                    <w:t> </w:t>
                  </w:r>
                  <w:hyperlink r:id="rId6" w:history="1">
                    <w:r w:rsidRPr="00E233F8">
                      <w:rPr>
                        <w:rFonts w:eastAsia="Times New Roman" w:cs="Arial"/>
                        <w:b/>
                        <w:bCs/>
                        <w:color w:val="C29632"/>
                        <w:sz w:val="21"/>
                        <w:u w:val="single"/>
                        <w:lang w:eastAsia="hr-HR"/>
                      </w:rPr>
                      <w:t>Ripenda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75"/>
                    <w:gridCol w:w="2460"/>
                    <w:gridCol w:w="2460"/>
                    <w:gridCol w:w="2460"/>
                    <w:gridCol w:w="2475"/>
                  </w:tblGrid>
                  <w:tr w:rsidR="00E233F8" w:rsidRPr="00E233F8" w:rsidTr="00E233F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period:</w:t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9D45F4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51" type="#_x0000_t75" style="width:49.5pt;height:18pt" o:ole="">
                                    <v:imagedata r:id="rId7" o:title=""/>
                                  </v:shape>
                                  <w:control r:id="rId8" w:name="DefaultOcxName" w:shapeid="_x0000_i1051"/>
                                </w:object>
                              </w:r>
                              <w:r w:rsidR="00E233F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2" name="frm:flt4PopupButton" descr="http://lokalnemreze.azo.hr/iszo/iskzl/a4j/g/3_3_3.Finalorg.richfaces.renderkit.html.iconimages.CalendarIcon/DATB/eAFzLo5lmPUcAAdmApU_.js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m:flt4PopupButton" descr="http://lokalnemreze.azo.hr/iszo/iskzl/a4j/g/3_3_3.Finalorg.richfaces.renderkit.html.iconimages.CalendarIcon/DATB/eAFzLo5lmPUcAAdmApU_.js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9D45F4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54" type="#_x0000_t75" style="width:49.5pt;height:18pt" o:ole="">
                                    <v:imagedata r:id="rId10" o:title=""/>
                                  </v:shape>
                                  <w:control r:id="rId11" w:name="DefaultOcxName1" w:shapeid="_x0000_i1054"/>
                                </w:object>
                              </w:r>
                              <w:r w:rsidR="00E233F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3" name="frm:flt5PopupButton" descr="http://lokalnemreze.azo.hr/iszo/iskzl/a4j/g/3_3_3.Finalorg.richfaces.renderkit.html.iconimages.CalendarIcon/DATB/eAFzLo5lmPUcAAdmApU_.js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rm:flt5PopupButton" descr="http://lokalnemreze.azo.hr/iszo/iskzl/a4j/g/3_3_3.Finalorg.richfaces.renderkit.html.iconimages.CalendarIcon/DATB/eAFzLo5lmPUcAAdmApU_.js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podatke za obradu:</w:t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9"/>
                              </w:tblGrid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6" type="#_x0000_t75" style="width:20.25pt;height:18pt" o:ole="">
                                          <v:imagedata r:id="rId12" o:title=""/>
                                        </v:shape>
                                        <w:control r:id="rId13" w:name="DefaultOcxName2" w:shapeid="_x0000_i1056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Izmjereni</w:t>
                                    </w:r>
                                  </w:p>
                                </w:tc>
                              </w:tr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9" type="#_x0000_t75" style="width:20.25pt;height:18pt" o:ole="">
                                          <v:imagedata r:id="rId14" o:title=""/>
                                        </v:shape>
                                        <w:control r:id="rId15" w:name="DefaultOcxName3" w:shapeid="_x0000_i1059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Validirani</w:t>
                                    </w:r>
                                  </w:p>
                                </w:tc>
                              </w:tr>
                            </w:tbl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granulaciju:</w:t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249"/>
                              </w:tblGrid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2" type="#_x0000_t75" style="width:20.25pt;height:18pt" o:ole="">
                                          <v:imagedata r:id="rId14" o:title=""/>
                                        </v:shape>
                                        <w:control r:id="rId16" w:name="DefaultOcxName4" w:shapeid="_x0000_i1062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satna</w:t>
                                    </w:r>
                                  </w:p>
                                </w:tc>
                              </w:tr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5" type="#_x0000_t75" style="width:20.25pt;height:18pt" o:ole="">
                                          <v:imagedata r:id="rId12" o:title=""/>
                                        </v:shape>
                                        <w:control r:id="rId17" w:name="DefaultOcxName5" w:shapeid="_x0000_i1065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dnevna</w:t>
                                    </w:r>
                                  </w:p>
                                </w:tc>
                              </w:tr>
                            </w:tbl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način prikaza:</w:t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260"/>
                                <w:gridCol w:w="980"/>
                              </w:tblGrid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68" type="#_x0000_t75" style="width:20.25pt;height:18pt" o:ole="">
                                          <v:imagedata r:id="rId12" o:title=""/>
                                        </v:shape>
                                        <w:control r:id="rId18" w:name="DefaultOcxName6" w:shapeid="_x0000_i1068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Tablica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1" type="#_x0000_t75" style="width:20.25pt;height:18pt" o:ole="">
                                          <v:imagedata r:id="rId14" o:title=""/>
                                        </v:shape>
                                        <w:control r:id="rId19" w:name="DefaultOcxName7" w:shapeid="_x0000_i1071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Graf</w:t>
                                    </w:r>
                                  </w:p>
                                </w:tc>
                              </w:tr>
                            </w:tbl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E233F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tvari:</w:t>
                              </w:r>
                            </w:p>
                          </w:tc>
                        </w:tr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310"/>
                              </w:tblGrid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4" type="#_x0000_t75" style="width:20.25pt;height:18pt" o:ole="">
                                          <v:imagedata r:id="rId20" o:title=""/>
                                        </v:shape>
                                        <w:control r:id="rId21" w:name="DefaultOcxName8" w:shapeid="_x0000_i1074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lebdeće čestice (&lt;10µm) (PM10)</w:t>
                                    </w:r>
                                  </w:p>
                                </w:tc>
                              </w:tr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77" type="#_x0000_t75" style="width:20.25pt;height:18pt" o:ole="">
                                          <v:imagedata r:id="rId20" o:title=""/>
                                        </v:shape>
                                        <w:control r:id="rId22" w:name="DefaultOcxName9" w:shapeid="_x0000_i1077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dušikov dioksid (NO2)</w:t>
                                    </w:r>
                                  </w:p>
                                </w:tc>
                              </w:tr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80" type="#_x0000_t75" style="width:20.25pt;height:18pt" o:ole="">
                                          <v:imagedata r:id="rId20" o:title=""/>
                                        </v:shape>
                                        <w:control r:id="rId23" w:name="DefaultOcxName10" w:shapeid="_x0000_i1080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sumporov dioksid (SO2)</w:t>
                                    </w:r>
                                  </w:p>
                                </w:tc>
                              </w:tr>
                              <w:tr w:rsidR="00E233F8" w:rsidRPr="00E233F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3F8" w:rsidRPr="00E233F8" w:rsidRDefault="009D45F4" w:rsidP="00E233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83" type="#_x0000_t75" style="width:20.25pt;height:18pt" o:ole="">
                                          <v:imagedata r:id="rId20" o:title=""/>
                                        </v:shape>
                                        <w:control r:id="rId24" w:name="DefaultOcxName11" w:shapeid="_x0000_i1083"/>
                                      </w:object>
                                    </w:r>
                                    <w:r w:rsidR="00E233F8" w:rsidRPr="00E233F8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ozon (O3)</w:t>
                                    </w:r>
                                  </w:p>
                                </w:tc>
                              </w:tr>
                            </w:tbl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233F8" w:rsidRPr="00E233F8" w:rsidTr="00E233F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746"/>
                        </w:tblGrid>
                        <w:tr w:rsidR="00E233F8" w:rsidRPr="00E233F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E233F8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33F8" w:rsidRPr="00E233F8" w:rsidRDefault="009D45F4" w:rsidP="00E233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hyperlink r:id="rId25" w:history="1">
                                <w:r w:rsidR="00E233F8" w:rsidRPr="00E233F8">
                                  <w:rPr>
                                    <w:rFonts w:eastAsia="Times New Roman" w:cs="Arial"/>
                                    <w:color w:val="C29632"/>
                                    <w:sz w:val="17"/>
                                    <w:u w:val="single"/>
                                    <w:lang w:eastAsia="hr-HR"/>
                                  </w:rPr>
                                  <w:t>Povratak</w:t>
                                </w:r>
                              </w:hyperlink>
                            </w:p>
                          </w:tc>
                        </w:tr>
                      </w:tbl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E233F8" w:rsidRPr="00E233F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233F8" w:rsidRPr="00E233F8" w:rsidRDefault="00E233F8" w:rsidP="00E233F8">
                  <w:pPr>
                    <w:shd w:val="clear" w:color="auto" w:fill="5D7343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E233F8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Rezultat</w:t>
                  </w:r>
                </w:p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  <w:r w:rsidRPr="00E233F8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  <w:t>Osam stane klizne vrijednosti su prikazane za tvari: ozon.</w:t>
                  </w:r>
                </w:p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771"/>
                    <w:gridCol w:w="763"/>
                    <w:gridCol w:w="942"/>
                    <w:gridCol w:w="750"/>
                  </w:tblGrid>
                  <w:tr w:rsidR="00E233F8" w:rsidRPr="00E233F8" w:rsidTr="00E233F8">
                    <w:trPr>
                      <w:tblHeader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lebdeće čestice (&lt;10µm)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dušikov dioksid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sumporov dioksid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  <w:t>ozon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16,57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20,25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18,48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30,76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120,26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5,92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188,32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22,33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97,32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23,12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26,79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134,13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21,96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125,21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3,71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146,82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1,33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100,75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4,01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6,26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lastRenderedPageBreak/>
                          <w:t>14.10.2013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10,27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22.10.2013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23.10.2013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24.10.2013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25.10.2013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26.10.2013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27.10.2013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28.10.2013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29.10.2013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30.10.2013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4,17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31.10.2013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01.11.2013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02.11.2013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03.11.2013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32,04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3,23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04.11.2013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30,33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7,88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1,92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05.11.2013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12,83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1,46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06.11.2013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15,35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9,21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1,13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07.11.2013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08.11.2013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09.11.2013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10.11.2013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11.11.2013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12.11.2013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13.11.2013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14.11.2013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15.11.2013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7,24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16.11.2013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3,82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17.11.2013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16,65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18.11.2013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1,42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8,66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19.11.2013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5,46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4,63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20.11.2013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4,79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21.11.2013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lastRenderedPageBreak/>
                          <w:t>22.11.2013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23.11.2013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6,54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4,11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24.11.2013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7,25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3,52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4,19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25.11.2013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5,62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3,29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4,60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26.11.2013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2,75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4,04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27.11.2013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6,59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  <w:t>28.11.2013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10,93</w:t>
                        </w:r>
                      </w:p>
                    </w:tc>
                  </w:tr>
                </w:tbl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750"/>
                    <w:gridCol w:w="750"/>
                    <w:gridCol w:w="750"/>
                    <w:gridCol w:w="750"/>
                  </w:tblGrid>
                  <w:tr w:rsidR="00E233F8" w:rsidRPr="00E233F8" w:rsidTr="00E233F8">
                    <w:trPr>
                      <w:tblHeader/>
                    </w:trPr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A6D47D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hr-HR"/>
                          </w:rPr>
                        </w:pP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Minimalna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2,21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3,29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1,13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Maksimalna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23,12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32,04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26,79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188,32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Srednja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4,45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10,03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13,34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38,30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Postotak valjanih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54,00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47,00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Broj prekoračenja GV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5,00</w:t>
                        </w:r>
                      </w:p>
                    </w:tc>
                  </w:tr>
                  <w:tr w:rsidR="00E233F8" w:rsidRPr="00E233F8" w:rsidTr="00E233F8">
                    <w:tc>
                      <w:tcPr>
                        <w:tcW w:w="180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Broj prekoračenja TV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E233F8" w:rsidRPr="00E233F8" w:rsidRDefault="00E233F8" w:rsidP="00E233F8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E233F8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0,00</w:t>
                        </w:r>
                      </w:p>
                    </w:tc>
                  </w:tr>
                </w:tbl>
                <w:p w:rsidR="00E233F8" w:rsidRPr="00E233F8" w:rsidRDefault="00E233F8" w:rsidP="00E233F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</w:tbl>
          <w:p w:rsidR="00E233F8" w:rsidRPr="00E233F8" w:rsidRDefault="00E233F8" w:rsidP="00E233F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E233F8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lastRenderedPageBreak/>
              <w:t>Bottom of Form</w:t>
            </w:r>
          </w:p>
        </w:tc>
        <w:tc>
          <w:tcPr>
            <w:tcW w:w="105" w:type="dxa"/>
            <w:hideMark/>
          </w:tcPr>
          <w:p w:rsidR="00E233F8" w:rsidRPr="00E233F8" w:rsidRDefault="00E233F8" w:rsidP="00E233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lastRenderedPageBreak/>
              <w:drawing>
                <wp:inline distT="0" distB="0" distL="0" distR="0">
                  <wp:extent cx="9525" cy="3905250"/>
                  <wp:effectExtent l="0" t="0" r="0" b="0"/>
                  <wp:docPr id="4" name="resizer" descr="http://lokalnemreze.azo.hr/iszo/iskzl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r" descr="http://lokalnemreze.azo.hr/iszo/iskzl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913" w:rsidRDefault="002C0127"/>
    <w:sectPr w:rsidR="001D0913" w:rsidSect="00E233F8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F8" w:rsidRDefault="00E233F8" w:rsidP="00E233F8">
      <w:pPr>
        <w:spacing w:after="0" w:line="240" w:lineRule="auto"/>
      </w:pPr>
      <w:r>
        <w:separator/>
      </w:r>
    </w:p>
  </w:endnote>
  <w:endnote w:type="continuationSeparator" w:id="0">
    <w:p w:rsidR="00E233F8" w:rsidRDefault="00E233F8" w:rsidP="00E2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F8" w:rsidRDefault="00E233F8" w:rsidP="00E233F8">
      <w:pPr>
        <w:spacing w:after="0" w:line="240" w:lineRule="auto"/>
      </w:pPr>
      <w:r>
        <w:separator/>
      </w:r>
    </w:p>
  </w:footnote>
  <w:footnote w:type="continuationSeparator" w:id="0">
    <w:p w:rsidR="00E233F8" w:rsidRDefault="00E233F8" w:rsidP="00E2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F8" w:rsidRDefault="00E233F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 w:rsidR="002C0127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F8"/>
    <w:rsid w:val="001935BD"/>
    <w:rsid w:val="002C0127"/>
    <w:rsid w:val="00316E97"/>
    <w:rsid w:val="005E3FA4"/>
    <w:rsid w:val="006B4158"/>
    <w:rsid w:val="00843678"/>
    <w:rsid w:val="009D45F4"/>
    <w:rsid w:val="00A401B2"/>
    <w:rsid w:val="00BC543E"/>
    <w:rsid w:val="00BD7D0B"/>
    <w:rsid w:val="00E040B3"/>
    <w:rsid w:val="00E233F8"/>
    <w:rsid w:val="00E50B95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F8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3F8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233F8"/>
    <w:rPr>
      <w:color w:val="0000FF"/>
      <w:u w:val="single"/>
    </w:rPr>
  </w:style>
  <w:style w:type="character" w:customStyle="1" w:styleId="grid-content-header">
    <w:name w:val="grid-content-header"/>
    <w:basedOn w:val="DefaultParagraphFont"/>
    <w:rsid w:val="00E233F8"/>
  </w:style>
  <w:style w:type="character" w:customStyle="1" w:styleId="apple-converted-space">
    <w:name w:val="apple-converted-space"/>
    <w:basedOn w:val="DefaultParagraphFont"/>
    <w:rsid w:val="00E233F8"/>
  </w:style>
  <w:style w:type="character" w:customStyle="1" w:styleId="text">
    <w:name w:val="text"/>
    <w:basedOn w:val="DefaultParagraphFont"/>
    <w:rsid w:val="00E233F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233F8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233F8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3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3F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single" w:sz="6" w:space="2" w:color="5D7343"/>
                        <w:right w:val="none" w:sz="0" w:space="2" w:color="auto"/>
                      </w:divBdr>
                      <w:divsChild>
                        <w:div w:id="13203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7931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8819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16940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4505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yperlink" Target="http://lokalnemreze.azo.hr/iszo/iskzl/postajaSimple.jsf?id=180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kalnemreze.azo.hr/iszo/iskzl/postajaSimple.jsf?id=180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2013-11-28T19:55:00Z</dcterms:created>
  <dcterms:modified xsi:type="dcterms:W3CDTF">2013-11-28T19:55:00Z</dcterms:modified>
</cp:coreProperties>
</file>